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96C" w:rsidRPr="00514D22" w:rsidRDefault="00E3496C" w:rsidP="00E3496C">
      <w:pPr>
        <w:pStyle w:val="ConsPlusNormal"/>
        <w:spacing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4D2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 xml:space="preserve">к </w:t>
      </w:r>
      <w:r w:rsidR="00CE49B1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514D22">
        <w:rPr>
          <w:rFonts w:ascii="Times New Roman" w:hAnsi="Times New Roman" w:cs="Times New Roman"/>
          <w:sz w:val="24"/>
          <w:szCs w:val="24"/>
        </w:rPr>
        <w:t>подпрограмм</w:t>
      </w:r>
      <w:r w:rsidR="00CE49B1">
        <w:rPr>
          <w:rFonts w:ascii="Times New Roman" w:hAnsi="Times New Roman" w:cs="Times New Roman"/>
          <w:sz w:val="24"/>
          <w:szCs w:val="24"/>
        </w:rPr>
        <w:t>ы</w:t>
      </w:r>
      <w:r w:rsidRPr="00514D22">
        <w:rPr>
          <w:rFonts w:ascii="Times New Roman" w:hAnsi="Times New Roman" w:cs="Times New Roman"/>
          <w:sz w:val="24"/>
          <w:szCs w:val="24"/>
        </w:rPr>
        <w:t xml:space="preserve"> «Организация профессионального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обучения и дополнительного профессионального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образования лиц в возрасте 50-ти лет и старше,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а также лиц предпенсионного возраста»</w:t>
      </w:r>
    </w:p>
    <w:p w:rsidR="00E3496C" w:rsidRDefault="00E3496C" w:rsidP="00E3496C"/>
    <w:p w:rsidR="00E3496C" w:rsidRPr="00DE5CFF" w:rsidRDefault="00E3496C" w:rsidP="00E34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102D92">
        <w:rPr>
          <w:rFonts w:ascii="Times New Roman" w:hAnsi="Times New Roman" w:cs="Times New Roman"/>
          <w:sz w:val="28"/>
          <w:szCs w:val="28"/>
        </w:rPr>
        <w:t>«</w:t>
      </w:r>
      <w:r w:rsidRPr="00DE5CFF">
        <w:rPr>
          <w:rFonts w:ascii="Times New Roman" w:hAnsi="Times New Roman" w:cs="Times New Roman"/>
          <w:sz w:val="28"/>
          <w:szCs w:val="28"/>
        </w:rPr>
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</w:r>
      <w:r w:rsidR="00102D92">
        <w:rPr>
          <w:rFonts w:ascii="Times New Roman" w:hAnsi="Times New Roman" w:cs="Times New Roman"/>
          <w:sz w:val="28"/>
          <w:szCs w:val="28"/>
        </w:rPr>
        <w:t>»</w:t>
      </w:r>
      <w:r w:rsidRPr="00DE5CFF">
        <w:rPr>
          <w:rFonts w:ascii="Times New Roman" w:hAnsi="Times New Roman" w:cs="Times New Roman"/>
          <w:sz w:val="28"/>
          <w:szCs w:val="28"/>
        </w:rPr>
        <w:t xml:space="preserve"> (далее - подпрограмма) разработана в целях содействия занятости лиц в возрасте 50-ти лет и старше, а также лиц предпенсионного возраста путем организации профессионального обучения и дополнительного профессионального образования для приобретения или развития имеющихся знаний, компетенций и навыков, обеспечивающих конкурентоспособность и профессиональную мобильность на рынке труда.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Участниками подпрограммы являются лица в возрасте 50-ти лет и старше, а также лица предпенсионного возраста. Участниками подпрограммы являются как работники организаций, проходящие обучение по направлениям работодателей, так и граждане, самостоятельно обратившиеся в органы службы занятости населения. Граждане, зарегистрированные в органах службы занятости в качестве безработных, не могут являться участниками мероприятия по организации профессионального обучения и дополнительного профессионального образования в рамках подпрограммы.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Мероприятия подпрограммы увязаны с мероприятиями, предусмотренными в рамках реализации регионального проекта "Старшее поколение</w:t>
      </w:r>
      <w:r w:rsidR="00AA6206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E5CFF">
        <w:rPr>
          <w:rFonts w:ascii="Times New Roman" w:hAnsi="Times New Roman" w:cs="Times New Roman"/>
          <w:sz w:val="28"/>
          <w:szCs w:val="28"/>
        </w:rPr>
        <w:t>", по комплексу решаемых задач, исполнителям и срокам реализации.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В рамках реализации подпрограммы планируется: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проведение анализа потребности в обучении лиц в возрасте 50-ти лет и старше, а также лиц предпенсионного возраста и возможностей рынка образовательных услуг в сфере профессионального обучения и дополнительного профессионального образования;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формирование и актуализация перечня наиболее востребованных профессий (навыков, компетенций) на рынке труда для обучения лиц в возрасте 50-ти лет и старше, а также лиц предпенсионного возраста;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формирование и актуализация рекомендуемого перечня образовательных организаций и программ для организации профессионального обучения и дополнительного образования лиц в возрасте 50-ти лет и старше, а также лиц предпенсионного возраста;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 xml:space="preserve">организация профессиональной ориентации и профилирование лиц в </w:t>
      </w:r>
      <w:r w:rsidRPr="00DE5CFF">
        <w:rPr>
          <w:rFonts w:ascii="Times New Roman" w:hAnsi="Times New Roman" w:cs="Times New Roman"/>
          <w:sz w:val="28"/>
          <w:szCs w:val="28"/>
        </w:rPr>
        <w:lastRenderedPageBreak/>
        <w:t>возрасте 50-ти лет и старше, а также лиц предпенсионного возраста по профессиям (навыкам, компетенциям) в целях подбора соответствующей программы профессионального обучения и дополнительного профессионального образования;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организация взаимодействия с работодателями с целью определения потребности в организации профессионального обучения и дополнительного профессионального образования по профессиям (навыкам, компетенциям);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организация информирования лиц в возрасте 50-ти лет и старше, а также лиц предпенсионного возраста о возможности участия в программах профессионального обучения и дополнительного профессионального образования;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организация информирования работодателей о возможности участия в подпрограмме;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 с использованием дистанционных современных средств информационного обеспечения и коммуникации;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участие в чемпионате профессионального мастерства по стандартам "Ворлдскиллс" для людей старше 50 лет "Навыки мудрых";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мониторинг трудоустройства и закрепляемости на рабочих местах лиц в возрасте 50-ти лет и старше, а также лиц предпенсионного возраста, прошедших профессиональное обучение и дополнительное профессиональное образование, и граждан, ищущих работу, прошедших профессиональное обучение и дополнительное профессиональное образование.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Информационные и образовательные услуги лицам в возрасте 50-ти лет и старше, а также лицам предпенсионного возраста предполагается оказывать в том числе в электронном виде с использованием Общероссийской базы вакансий "Работа в России" и ее подсистемы - Общероссийской социальной сети деловых контактов Skillsnet.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Для организации профессионального обучения и дополнительного образования лиц в возрасте 50-ти лет и старше, а также лиц предпенсионного возраста будут использоваться два основных механизма.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Первый механизм - обучение граждан, обратившихся в органы занятости населения и получивших направление в организации, осуществляющие образовательную деятельность, имеющие лицензии на образовательную деятельность по соответствующим образовательным программам. Этот механизм включает в себя следующие этапы: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lastRenderedPageBreak/>
        <w:t>лица в возрасте 50-ти лет и старше, а также лица предпенсионного возраста, желающие пройти обучение, обращаются в органы занятости населения;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органы занятости населения выбирают из имеющихся в банке образовательных программ наиболее подходящий по уровню квалификации, форме и срокам обучения для граждан вариант;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граждане получают направление в образовательную организацию.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Второй механизм - обучение работников в возрасте 50-ти лет и старше, а также лиц предпенсионного возраста по направлению работодателей. В целях развития профессиональных навыков работников в возрасте 50-ти лет и старше, а также лиц предпенсионного возраста работодатель обращается в органы занятости населения для заключения соглашения об организации соответствующего обучения своих работников. Такой работодатель самостоятельно организует обучение в своем специализированном структурном образовательном подразделении, имеющем лицензию на осуществление образовательной деятельности, либо заключает соответствующий договор с образовательной организацией, имеющей лицензию на осуществление образовательной деятельности.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При организации профессионального обучения и дополнительного профессионального образования лиц в возрасте 50-ти лет и старше, а также лиц предпенсионного возраста из числа работников организаций и ищущих работу граждан, обратившихся в органы службы занятости, может использоваться субсидия на иные цели.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Ежегодно в органы службы занятости населения обращаются за содействием в поиске подходящей работы и признаются безработными около 2000 лиц в возрасте 50-ти лет и старше, а также лиц предпенсионного возраста.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Одним из важнейших направлений работы с указанной категорией граждан является профессиональное обучение и дополнительное профессиональное образование.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Обучение осуществляется по профессиям (специальностям), необходимым гражданам для дальнейшей работы, а также пользующимся спросом на региональном рынке труда.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В настоящее время в регионе имеет место дефицит квалифицированных кадров, в основном по рабочим профессиям.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Ежегодно в службу по труду и занятости от работодателей области поступают сведения о потребности в более, чем в 60 тыс. работников для замещения свободных рабочих мест (вакантных должностей).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lastRenderedPageBreak/>
        <w:t>На долю рабочих профессий в общей потребности экономики области в кадрах приходится около 80%.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В структуре заявленных вакансий по видам экономической деятельности на долю обрабатывающих производств и сельского хозяйства приходится порядка 60% от всех заявленных вакансий.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Ежегодно, начиная с 2019 года, мероприятиями по профессиональному обучению и дополнительному профессиональному образованию будут охвачены от 337 до 448 лиц в возрасте 50-ти лет и старше, а также лиц предпенсионного возраста. Всего к концу 2024 года профессиональное обучение и дополнительное профессиональное образование получат не менее 2133 граждан указанной категории.</w:t>
      </w:r>
    </w:p>
    <w:p w:rsidR="00E3496C" w:rsidRPr="00DE5CFF" w:rsidRDefault="00E3496C" w:rsidP="00E349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CFF">
        <w:rPr>
          <w:rFonts w:ascii="Times New Roman" w:hAnsi="Times New Roman" w:cs="Times New Roman"/>
          <w:sz w:val="28"/>
          <w:szCs w:val="28"/>
        </w:rPr>
        <w:t>Реализация подпрограммы будет способствовать продолжению трудовой деятельности лиц в возрасте 50-ти лет и старше, а также лиц предпенсионного возраста, как на прежних рабочих местах, так и на новых рабочих местах в соответствии с профессиональными навыками и физическими возможностями.</w:t>
      </w:r>
    </w:p>
    <w:p w:rsidR="00E3496C" w:rsidRPr="00E64994" w:rsidRDefault="00E3496C" w:rsidP="00E3496C"/>
    <w:p w:rsidR="00E3496C" w:rsidRPr="00E64994" w:rsidRDefault="00E3496C" w:rsidP="00E3496C"/>
    <w:p w:rsidR="00E3496C" w:rsidRPr="00E64994" w:rsidRDefault="00E3496C" w:rsidP="00E3496C"/>
    <w:p w:rsidR="00E3496C" w:rsidRPr="00E64994" w:rsidRDefault="00E3496C" w:rsidP="00E3496C">
      <w:pPr>
        <w:sectPr w:rsidR="00E3496C" w:rsidRPr="00E64994" w:rsidSect="00183886">
          <w:pgSz w:w="11950" w:h="16901"/>
          <w:pgMar w:top="1134" w:right="851" w:bottom="1134" w:left="1701" w:header="720" w:footer="720" w:gutter="0"/>
          <w:pgNumType w:start="1"/>
          <w:cols w:space="720"/>
          <w:noEndnote/>
        </w:sectPr>
      </w:pPr>
    </w:p>
    <w:p w:rsidR="00E3496C" w:rsidRPr="00514D22" w:rsidRDefault="00E3496C" w:rsidP="00E3496C">
      <w:pPr>
        <w:pStyle w:val="ConsPlusNormal"/>
        <w:spacing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к подпрограмме «Организация профессионального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обучения и дополнительного профессионального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образования лиц в возрасте 50-ти лет и старше,</w:t>
      </w:r>
    </w:p>
    <w:p w:rsidR="00E3496C" w:rsidRPr="00514D22" w:rsidRDefault="00E3496C" w:rsidP="00E3496C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а также лиц предпенсионного возраста»</w:t>
      </w:r>
    </w:p>
    <w:p w:rsidR="00E3496C" w:rsidRPr="00E64994" w:rsidRDefault="00E3496C" w:rsidP="00E3496C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3496C" w:rsidRPr="00E64994" w:rsidRDefault="00E3496C" w:rsidP="00E3496C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Объемы финансовых ресурсов на реализацию основных</w:t>
      </w:r>
    </w:p>
    <w:p w:rsidR="00E3496C" w:rsidRPr="00E64994" w:rsidRDefault="00E3496C" w:rsidP="00E3496C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мероприятий подпрограммы «Организация профессионального</w:t>
      </w:r>
    </w:p>
    <w:p w:rsidR="00E3496C" w:rsidRPr="00E64994" w:rsidRDefault="00E3496C" w:rsidP="00E3496C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обучения и дополнительного профессионального образования</w:t>
      </w:r>
    </w:p>
    <w:p w:rsidR="00E3496C" w:rsidRPr="00E64994" w:rsidRDefault="00E3496C" w:rsidP="00E3496C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лиц в возрасте 50-ти лет и старше, а также лиц</w:t>
      </w:r>
    </w:p>
    <w:p w:rsidR="00E3496C" w:rsidRPr="00E64994" w:rsidRDefault="00E3496C" w:rsidP="00E3496C">
      <w:pPr>
        <w:pStyle w:val="ConsPlusTitle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64994">
        <w:rPr>
          <w:rFonts w:ascii="Times New Roman" w:hAnsi="Times New Roman" w:cs="Times New Roman"/>
          <w:sz w:val="28"/>
          <w:szCs w:val="28"/>
        </w:rPr>
        <w:t>предпенсионного возраста»</w:t>
      </w:r>
    </w:p>
    <w:p w:rsidR="00E3496C" w:rsidRPr="00E64994" w:rsidRDefault="00E3496C" w:rsidP="00E3496C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1808"/>
        <w:gridCol w:w="1984"/>
        <w:gridCol w:w="1418"/>
        <w:gridCol w:w="1559"/>
        <w:gridCol w:w="1701"/>
        <w:gridCol w:w="1533"/>
        <w:gridCol w:w="27"/>
        <w:gridCol w:w="1559"/>
        <w:gridCol w:w="1559"/>
        <w:gridCol w:w="1559"/>
      </w:tblGrid>
      <w:tr w:rsidR="00E3496C" w:rsidRPr="00E64994" w:rsidTr="00DB356C">
        <w:tc>
          <w:tcPr>
            <w:tcW w:w="664" w:type="dxa"/>
            <w:vMerge w:val="restart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1808" w:type="dxa"/>
            <w:vMerge w:val="restart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418" w:type="dxa"/>
            <w:vMerge w:val="restart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9497" w:type="dxa"/>
            <w:gridSpan w:val="7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финансирования, рублей</w:t>
            </w:r>
          </w:p>
        </w:tc>
      </w:tr>
      <w:tr w:rsidR="00E3496C" w:rsidRPr="00E64994" w:rsidTr="00DB356C">
        <w:tc>
          <w:tcPr>
            <w:tcW w:w="664" w:type="dxa"/>
            <w:vMerge/>
          </w:tcPr>
          <w:p w:rsidR="00E3496C" w:rsidRPr="00E64994" w:rsidRDefault="00E3496C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8" w:type="dxa"/>
            <w:vMerge/>
          </w:tcPr>
          <w:p w:rsidR="00E3496C" w:rsidRPr="00E64994" w:rsidRDefault="00E3496C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3496C" w:rsidRPr="00E64994" w:rsidRDefault="00E3496C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E3496C" w:rsidRPr="00E64994" w:rsidRDefault="00E3496C" w:rsidP="00DB356C">
            <w:pPr>
              <w:spacing w:after="0" w:line="240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1701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533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586" w:type="dxa"/>
            <w:gridSpan w:val="2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E64994">
              <w:rPr>
                <w:rFonts w:ascii="Times New Roman" w:hAnsi="Times New Roman"/>
                <w:sz w:val="26"/>
                <w:szCs w:val="26"/>
              </w:rPr>
              <w:t>3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E64994">
              <w:rPr>
                <w:rFonts w:ascii="Times New Roman" w:hAnsi="Times New Roman"/>
                <w:sz w:val="26"/>
                <w:szCs w:val="26"/>
              </w:rPr>
              <w:t>4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E3496C" w:rsidRPr="00E64994" w:rsidTr="00DB356C">
        <w:tc>
          <w:tcPr>
            <w:tcW w:w="664" w:type="dxa"/>
            <w:vAlign w:val="center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8" w:type="dxa"/>
            <w:vAlign w:val="center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33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86" w:type="dxa"/>
            <w:gridSpan w:val="2"/>
            <w:vAlign w:val="center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E3496C" w:rsidRPr="00E64994" w:rsidTr="00DB356C">
        <w:tc>
          <w:tcPr>
            <w:tcW w:w="66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0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«Старшее поколение</w:t>
            </w:r>
            <w:r w:rsidR="00DB777C">
              <w:rPr>
                <w:rFonts w:ascii="Times New Roman" w:hAnsi="Times New Roman" w:cs="Times New Roman"/>
                <w:sz w:val="26"/>
                <w:szCs w:val="26"/>
              </w:rPr>
              <w:t xml:space="preserve"> (Брянская область)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8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управление государственной службы по труду и занятости населения Брянской области,</w:t>
            </w:r>
          </w:p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- государственные казенные учреждения 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Брянской области - центры занятости населения</w:t>
            </w:r>
          </w:p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в муниципальных районах и городских округах</w:t>
            </w:r>
          </w:p>
        </w:tc>
        <w:tc>
          <w:tcPr>
            <w:tcW w:w="141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30664421,06</w:t>
            </w:r>
          </w:p>
        </w:tc>
        <w:tc>
          <w:tcPr>
            <w:tcW w:w="1701" w:type="dxa"/>
          </w:tcPr>
          <w:p w:rsidR="00E3496C" w:rsidRPr="003E35BC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3612020,00</w:t>
            </w:r>
          </w:p>
        </w:tc>
        <w:tc>
          <w:tcPr>
            <w:tcW w:w="1533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26713130,30</w:t>
            </w:r>
          </w:p>
        </w:tc>
        <w:tc>
          <w:tcPr>
            <w:tcW w:w="1586" w:type="dxa"/>
            <w:gridSpan w:val="2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26713130,30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26713130,30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26713130,30</w:t>
            </w:r>
          </w:p>
        </w:tc>
      </w:tr>
      <w:tr w:rsidR="00E3496C" w:rsidRPr="00E64994" w:rsidTr="00DB356C">
        <w:tc>
          <w:tcPr>
            <w:tcW w:w="66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</w:p>
        </w:tc>
        <w:tc>
          <w:tcPr>
            <w:tcW w:w="180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198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управление государственной службы по труду и занятости населения Брянской области,</w:t>
            </w:r>
          </w:p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соисполнители - государственные казенные учреждения Брянской области - центры занятости населения</w:t>
            </w:r>
          </w:p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 xml:space="preserve">в муниципальных 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районах и городских округах, государственное автономное учреждение дополнительного профессионального образования Брянской области "Региональный учебный центр"</w:t>
            </w:r>
          </w:p>
        </w:tc>
        <w:tc>
          <w:tcPr>
            <w:tcW w:w="141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20595761,49</w:t>
            </w:r>
          </w:p>
        </w:tc>
        <w:tc>
          <w:tcPr>
            <w:tcW w:w="1701" w:type="dxa"/>
          </w:tcPr>
          <w:p w:rsidR="00E3496C" w:rsidRPr="003E35BC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1519922,00</w:t>
            </w:r>
          </w:p>
        </w:tc>
        <w:tc>
          <w:tcPr>
            <w:tcW w:w="1533" w:type="dxa"/>
          </w:tcPr>
          <w:p w:rsidR="00E3496C" w:rsidRDefault="00E3496C" w:rsidP="00DB356C">
            <w:r w:rsidRPr="005D7B2F">
              <w:rPr>
                <w:rFonts w:ascii="Times New Roman" w:hAnsi="Times New Roman" w:cs="Times New Roman"/>
                <w:sz w:val="26"/>
                <w:szCs w:val="26"/>
              </w:rPr>
              <w:t>20491130,30</w:t>
            </w:r>
          </w:p>
        </w:tc>
        <w:tc>
          <w:tcPr>
            <w:tcW w:w="1586" w:type="dxa"/>
            <w:gridSpan w:val="2"/>
          </w:tcPr>
          <w:p w:rsidR="00E3496C" w:rsidRDefault="00E3496C" w:rsidP="00DB356C">
            <w:r w:rsidRPr="005D7B2F">
              <w:rPr>
                <w:rFonts w:ascii="Times New Roman" w:hAnsi="Times New Roman" w:cs="Times New Roman"/>
                <w:sz w:val="26"/>
                <w:szCs w:val="26"/>
              </w:rPr>
              <w:t>20491130,30</w:t>
            </w:r>
          </w:p>
        </w:tc>
        <w:tc>
          <w:tcPr>
            <w:tcW w:w="1559" w:type="dxa"/>
          </w:tcPr>
          <w:p w:rsidR="00E3496C" w:rsidRDefault="00E3496C" w:rsidP="00DB356C">
            <w:r w:rsidRPr="005D7B2F">
              <w:rPr>
                <w:rFonts w:ascii="Times New Roman" w:hAnsi="Times New Roman" w:cs="Times New Roman"/>
                <w:sz w:val="26"/>
                <w:szCs w:val="26"/>
              </w:rPr>
              <w:t>20491130,30</w:t>
            </w:r>
          </w:p>
        </w:tc>
        <w:tc>
          <w:tcPr>
            <w:tcW w:w="1559" w:type="dxa"/>
          </w:tcPr>
          <w:p w:rsidR="00E3496C" w:rsidRDefault="00E3496C" w:rsidP="00DB356C">
            <w:r w:rsidRPr="005D7B2F">
              <w:rPr>
                <w:rFonts w:ascii="Times New Roman" w:hAnsi="Times New Roman" w:cs="Times New Roman"/>
                <w:sz w:val="26"/>
                <w:szCs w:val="26"/>
              </w:rPr>
              <w:t>20491130,30</w:t>
            </w:r>
          </w:p>
        </w:tc>
      </w:tr>
      <w:tr w:rsidR="00E3496C" w:rsidRPr="00E64994" w:rsidTr="00DB356C">
        <w:tc>
          <w:tcPr>
            <w:tcW w:w="66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1.1.1.</w:t>
            </w:r>
          </w:p>
        </w:tc>
        <w:tc>
          <w:tcPr>
            <w:tcW w:w="180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 xml:space="preserve">Субсидия на иные цели по организации профессионального обучения и дополнительного профессионального образования лиц в возрасте 50-ти лет и старше, а также лиц 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предпенсионного возраста</w:t>
            </w:r>
          </w:p>
        </w:tc>
        <w:tc>
          <w:tcPr>
            <w:tcW w:w="198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государственной службы по труду и занятости населения Брянской области, соисполнитель - государственное автономное учреждение дополнительного профессиональн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ого образования Брянской области "Региональный учебный центр"</w:t>
            </w:r>
          </w:p>
        </w:tc>
        <w:tc>
          <w:tcPr>
            <w:tcW w:w="141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559" w:type="dxa"/>
          </w:tcPr>
          <w:p w:rsidR="00E3496C" w:rsidRPr="0055656A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5656A">
              <w:rPr>
                <w:rFonts w:ascii="Times New Roman" w:hAnsi="Times New Roman" w:cs="Times New Roman"/>
                <w:sz w:val="26"/>
                <w:szCs w:val="26"/>
              </w:rPr>
              <w:t>6000000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3496C" w:rsidRPr="003E35BC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5656A">
              <w:rPr>
                <w:rFonts w:ascii="Times New Roman" w:hAnsi="Times New Roman" w:cs="Times New Roman"/>
                <w:sz w:val="26"/>
                <w:szCs w:val="26"/>
              </w:rPr>
              <w:t>2022935,87</w:t>
            </w:r>
          </w:p>
        </w:tc>
        <w:tc>
          <w:tcPr>
            <w:tcW w:w="1560" w:type="dxa"/>
            <w:gridSpan w:val="2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3000000,00</w:t>
            </w:r>
          </w:p>
        </w:tc>
        <w:tc>
          <w:tcPr>
            <w:tcW w:w="1559" w:type="dxa"/>
          </w:tcPr>
          <w:p w:rsidR="00E3496C" w:rsidRPr="00E64994" w:rsidRDefault="00E3496C" w:rsidP="00DB356C"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3000000,00</w:t>
            </w:r>
          </w:p>
        </w:tc>
        <w:tc>
          <w:tcPr>
            <w:tcW w:w="1559" w:type="dxa"/>
          </w:tcPr>
          <w:p w:rsidR="00E3496C" w:rsidRPr="00E64994" w:rsidRDefault="00E3496C" w:rsidP="00DB356C"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3000000,00</w:t>
            </w:r>
          </w:p>
        </w:tc>
        <w:tc>
          <w:tcPr>
            <w:tcW w:w="1559" w:type="dxa"/>
          </w:tcPr>
          <w:p w:rsidR="00E3496C" w:rsidRPr="00E64994" w:rsidRDefault="00E3496C" w:rsidP="00DB356C"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3000000,00</w:t>
            </w:r>
          </w:p>
        </w:tc>
      </w:tr>
      <w:tr w:rsidR="00E3496C" w:rsidRPr="00E64994" w:rsidTr="00DB356C">
        <w:tc>
          <w:tcPr>
            <w:tcW w:w="66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180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Выплата стипендии лицам в возрасте 50-ти лет и старше, а также лицам предпенсионного возраста из числа ищущих работу и обратившихся в органы службы занятости</w:t>
            </w:r>
          </w:p>
        </w:tc>
        <w:tc>
          <w:tcPr>
            <w:tcW w:w="198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управление государственной службы по труду и занятости населения Брянской области, соисполнители - государственные казенные учреждения Брянской области - центры занятости населения в муниципальных районах и городских округах</w:t>
            </w:r>
          </w:p>
        </w:tc>
        <w:tc>
          <w:tcPr>
            <w:tcW w:w="141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5656A">
              <w:rPr>
                <w:rFonts w:ascii="Times New Roman" w:hAnsi="Times New Roman" w:cs="Times New Roman"/>
                <w:sz w:val="26"/>
                <w:szCs w:val="26"/>
              </w:rPr>
              <w:t>4068659,57</w:t>
            </w:r>
          </w:p>
        </w:tc>
        <w:tc>
          <w:tcPr>
            <w:tcW w:w="1701" w:type="dxa"/>
          </w:tcPr>
          <w:p w:rsidR="00E3496C" w:rsidRPr="0055656A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5656A">
              <w:rPr>
                <w:rFonts w:ascii="Times New Roman" w:hAnsi="Times New Roman" w:cs="Times New Roman"/>
                <w:sz w:val="26"/>
                <w:szCs w:val="26"/>
              </w:rPr>
              <w:t>69162,13</w:t>
            </w:r>
          </w:p>
        </w:tc>
        <w:tc>
          <w:tcPr>
            <w:tcW w:w="1560" w:type="dxa"/>
            <w:gridSpan w:val="2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1098000,00</w:t>
            </w:r>
          </w:p>
        </w:tc>
        <w:tc>
          <w:tcPr>
            <w:tcW w:w="1559" w:type="dxa"/>
          </w:tcPr>
          <w:p w:rsidR="00E3496C" w:rsidRPr="00E64994" w:rsidRDefault="00E3496C" w:rsidP="00DB356C"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1098000,00</w:t>
            </w:r>
          </w:p>
        </w:tc>
        <w:tc>
          <w:tcPr>
            <w:tcW w:w="1559" w:type="dxa"/>
          </w:tcPr>
          <w:p w:rsidR="00E3496C" w:rsidRPr="00E64994" w:rsidRDefault="00E3496C" w:rsidP="00DB356C"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1098000,00</w:t>
            </w:r>
          </w:p>
        </w:tc>
        <w:tc>
          <w:tcPr>
            <w:tcW w:w="1559" w:type="dxa"/>
          </w:tcPr>
          <w:p w:rsidR="00E3496C" w:rsidRPr="00E64994" w:rsidRDefault="00E3496C" w:rsidP="00DB356C"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1098000,00</w:t>
            </w:r>
          </w:p>
        </w:tc>
      </w:tr>
      <w:tr w:rsidR="00E3496C" w:rsidRPr="00E64994" w:rsidTr="00DB356C">
        <w:tc>
          <w:tcPr>
            <w:tcW w:w="66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80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 xml:space="preserve">Компенсация расходов при проезде, 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проживании</w:t>
            </w:r>
          </w:p>
        </w:tc>
        <w:tc>
          <w:tcPr>
            <w:tcW w:w="1984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управление государственной службы по </w:t>
            </w: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труду и занятости населения Брянской области,</w:t>
            </w:r>
          </w:p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соисполнители - государственные казенные учреждения Брянской области - центры занятости населения</w:t>
            </w:r>
          </w:p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в муниципальных районах и городских округах</w:t>
            </w:r>
          </w:p>
        </w:tc>
        <w:tc>
          <w:tcPr>
            <w:tcW w:w="1418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559" w:type="dxa"/>
          </w:tcPr>
          <w:p w:rsidR="00E3496C" w:rsidRPr="00E64994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6499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E3496C" w:rsidRPr="0055656A" w:rsidRDefault="00E3496C" w:rsidP="00DB356C">
            <w:pPr>
              <w:pStyle w:val="ConsPlusNormal"/>
              <w:spacing w:line="240" w:lineRule="atLeas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5656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gridSpan w:val="2"/>
          </w:tcPr>
          <w:p w:rsidR="00E3496C" w:rsidRDefault="00E3496C" w:rsidP="00DB356C">
            <w:r w:rsidRPr="008E359E">
              <w:rPr>
                <w:rFonts w:ascii="Times New Roman" w:hAnsi="Times New Roman" w:cs="Times New Roman"/>
                <w:sz w:val="26"/>
                <w:szCs w:val="26"/>
              </w:rPr>
              <w:t>2124000,00</w:t>
            </w:r>
          </w:p>
        </w:tc>
        <w:tc>
          <w:tcPr>
            <w:tcW w:w="1559" w:type="dxa"/>
          </w:tcPr>
          <w:p w:rsidR="00E3496C" w:rsidRDefault="00E3496C" w:rsidP="00DB356C">
            <w:r w:rsidRPr="008E359E">
              <w:rPr>
                <w:rFonts w:ascii="Times New Roman" w:hAnsi="Times New Roman" w:cs="Times New Roman"/>
                <w:sz w:val="26"/>
                <w:szCs w:val="26"/>
              </w:rPr>
              <w:t>2124000,00</w:t>
            </w:r>
          </w:p>
        </w:tc>
        <w:tc>
          <w:tcPr>
            <w:tcW w:w="1559" w:type="dxa"/>
          </w:tcPr>
          <w:p w:rsidR="00E3496C" w:rsidRDefault="00E3496C" w:rsidP="00DB356C">
            <w:r w:rsidRPr="008E359E">
              <w:rPr>
                <w:rFonts w:ascii="Times New Roman" w:hAnsi="Times New Roman" w:cs="Times New Roman"/>
                <w:sz w:val="26"/>
                <w:szCs w:val="26"/>
              </w:rPr>
              <w:t>2124000,00</w:t>
            </w:r>
          </w:p>
        </w:tc>
        <w:tc>
          <w:tcPr>
            <w:tcW w:w="1559" w:type="dxa"/>
          </w:tcPr>
          <w:p w:rsidR="00E3496C" w:rsidRDefault="00E3496C" w:rsidP="00DB356C">
            <w:r w:rsidRPr="008E359E">
              <w:rPr>
                <w:rFonts w:ascii="Times New Roman" w:hAnsi="Times New Roman" w:cs="Times New Roman"/>
                <w:sz w:val="26"/>
                <w:szCs w:val="26"/>
              </w:rPr>
              <w:t>2124000,00</w:t>
            </w:r>
          </w:p>
        </w:tc>
      </w:tr>
    </w:tbl>
    <w:p w:rsidR="00C62691" w:rsidRDefault="00C62691"/>
    <w:sectPr w:rsidR="00C62691" w:rsidSect="00E349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6C"/>
    <w:rsid w:val="00102D92"/>
    <w:rsid w:val="00AA6206"/>
    <w:rsid w:val="00C62691"/>
    <w:rsid w:val="00CE49B1"/>
    <w:rsid w:val="00DB777C"/>
    <w:rsid w:val="00E3496C"/>
    <w:rsid w:val="00FF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49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349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49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349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1580</Words>
  <Characters>9006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Самуйленко Сергей Леонидович</dc:creator>
  <cp:lastModifiedBy>Макарченко М. В.</cp:lastModifiedBy>
  <cp:revision>2</cp:revision>
  <dcterms:created xsi:type="dcterms:W3CDTF">2020-10-28T15:20:00Z</dcterms:created>
  <dcterms:modified xsi:type="dcterms:W3CDTF">2020-10-28T15:20:00Z</dcterms:modified>
</cp:coreProperties>
</file>